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jc w:val="center"/>
        <w:rPr>
          <w:sz w:val="36"/>
          <w:szCs w:val="36"/>
        </w:rPr>
      </w:pPr>
      <w:r w:rsidDel="00000000" w:rsidR="00000000" w:rsidRPr="00000000">
        <w:rPr>
          <w:b w:val="1"/>
          <w:bCs w:val="1"/>
          <w:sz w:val="36"/>
          <w:szCs w:val="36"/>
          <w:rtl w:val="0"/>
        </w:rPr>
        <w:t xml:space="preserve">The Yuma Act of 2026</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center"/>
        <w:rPr>
          <w:sz w:val="36"/>
          <w:szCs w:val="36"/>
        </w:rPr>
      </w:pPr>
      <w:r w:rsidDel="00000000" w:rsidR="00000000" w:rsidRPr="00000000">
        <w:rPr>
          <w:rtl w:val="0"/>
        </w:rPr>
      </w:r>
    </w:p>
    <w:tbl>
      <w:tblPr>
        <w:tblStyle w:val="Table1"/>
        <w:tblW w:w="9360.0" w:type="dxa"/>
        <w:jc w:val="left"/>
        <w:tblLayout w:type="fixed"/>
        <w:tblLook w:val="0600"/>
      </w:tblPr>
      <w:tblGrid>
        <w:gridCol w:w="360"/>
        <w:gridCol w:w="9000"/>
        <w:tblGridChange w:id="0">
          <w:tblGrid>
            <w:gridCol w:w="360"/>
            <w:gridCol w:w="9000"/>
          </w:tblGrid>
        </w:tblGridChange>
      </w:tblGrid>
      <w:tr>
        <w:trPr>
          <w:cantSplit w:val="0"/>
          <w:tblHeader w:val="0"/>
        </w:trPr>
        <w:tc>
          <w:tcPr>
            <w:shd w:fill="auto" w:val="clear"/>
            <w:tcMar>
              <w:top w:w="14.399999999999999" w:type="dxa"/>
              <w:left w:w="14.399999999999999" w:type="dxa"/>
              <w:bottom w:w="14.399999999999999" w:type="dxa"/>
              <w:right w:w="14.399999999999999"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3</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4</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5</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6</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7</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8</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9</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10</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11</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12</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13</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14</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15</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16</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17</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18</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19</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20</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21</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22</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23</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24</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25</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26</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27</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5.99999999999994" w:lineRule="auto"/>
              <w:ind w:left="0" w:right="0" w:firstLine="0"/>
              <w:jc w:val="left"/>
              <w:rPr>
                <w:smallCaps w:val="1"/>
                <w:sz w:val="24"/>
                <w:szCs w:val="24"/>
              </w:rPr>
            </w:pPr>
            <w:r w:rsidDel="00000000" w:rsidR="00000000" w:rsidRPr="00000000">
              <w:rPr>
                <w:smallCaps w:val="1"/>
                <w:sz w:val="24"/>
                <w:szCs w:val="24"/>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line="335.99999999999994" w:lineRule="auto"/>
              <w:ind w:left="0" w:firstLine="0"/>
              <w:rPr/>
            </w:pPr>
            <w:r w:rsidDel="00000000" w:rsidR="00000000" w:rsidRPr="00000000">
              <w:rPr>
                <w:smallCaps w:val="1"/>
                <w:sz w:val="24"/>
                <w:szCs w:val="24"/>
                <w:rtl w:val="0"/>
              </w:rPr>
              <w:t xml:space="preserve">BE IT ENACTED BY THE CONGRESS HERE ASSEMBLED THAT:</w:t>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line="335.99999999999994" w:lineRule="auto"/>
              <w:ind w:left="1440"/>
              <w:rPr>
                <w:sz w:val="24"/>
                <w:szCs w:val="24"/>
              </w:rPr>
            </w:pPr>
            <w:r w:rsidDel="00000000" w:rsidR="00000000" w:rsidRPr="00000000">
              <w:rPr>
                <w:b w:val="1"/>
                <w:bCs w:val="1"/>
                <w:smallCaps w:val="1"/>
                <w:sz w:val="24"/>
                <w:szCs w:val="24"/>
                <w:rtl w:val="0"/>
              </w:rPr>
              <w:t xml:space="preserve">SECTION 1</w:t>
            </w:r>
            <w:r w:rsidDel="00000000" w:rsidR="00000000" w:rsidRPr="00000000">
              <w:rPr>
                <w:sz w:val="24"/>
                <w:szCs w:val="24"/>
                <w:rtl w:val="0"/>
              </w:rPr>
              <w:t xml:space="preserve">.</w:t>
              <w:tab/>
              <w:t xml:space="preserve">The United States shall lift all remaining economic, financial, and trade restrictions imposed upon the Republic of Cuba under the Cuban Assets Control Regulations (31 C.F.R. Part 515) of 1963 and the Cuban Liberty and Democratic Solidarity (LIBERTAD) Act of 1996, effectively terminating the U.S. embargo on Cuba.</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line="335.99999999999994" w:lineRule="auto"/>
              <w:ind w:left="1440"/>
              <w:rPr>
                <w:sz w:val="24"/>
                <w:szCs w:val="24"/>
              </w:rPr>
            </w:pPr>
            <w:r w:rsidDel="00000000" w:rsidR="00000000" w:rsidRPr="00000000">
              <w:rPr>
                <w:b w:val="1"/>
                <w:bCs w:val="1"/>
                <w:smallCaps w:val="1"/>
                <w:sz w:val="24"/>
                <w:szCs w:val="24"/>
                <w:rtl w:val="0"/>
              </w:rPr>
              <w:t xml:space="preserve">SECTION 2</w:t>
            </w:r>
            <w:r w:rsidDel="00000000" w:rsidR="00000000" w:rsidRPr="00000000">
              <w:rPr>
                <w:sz w:val="24"/>
                <w:szCs w:val="24"/>
                <w:rtl w:val="0"/>
              </w:rPr>
              <w:t xml:space="preserve">.</w:t>
              <w:tab/>
              <w:t xml:space="preserve">“Embargo” is defined as any statutory or regulatory prohibition restricting U.S. persons or entities from conducting trade, investment, or financial transactions with Cuban individuals, corporations, or the Cuban government.</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line="335.99999999999994" w:lineRule="auto"/>
              <w:ind w:left="1440"/>
              <w:rPr>
                <w:sz w:val="24"/>
                <w:szCs w:val="24"/>
              </w:rPr>
            </w:pPr>
            <w:r w:rsidDel="00000000" w:rsidR="00000000" w:rsidRPr="00000000">
              <w:rPr>
                <w:b w:val="1"/>
                <w:bCs w:val="1"/>
                <w:smallCaps w:val="1"/>
                <w:sz w:val="24"/>
                <w:szCs w:val="24"/>
                <w:rtl w:val="0"/>
              </w:rPr>
              <w:t xml:space="preserve">SECTION 3</w:t>
            </w:r>
            <w:r w:rsidDel="00000000" w:rsidR="00000000" w:rsidRPr="00000000">
              <w:rPr>
                <w:b w:val="1"/>
                <w:bCs w:val="1"/>
                <w:sz w:val="24"/>
                <w:szCs w:val="24"/>
                <w:rtl w:val="0"/>
              </w:rPr>
              <w:t xml:space="preserve">.</w:t>
            </w:r>
            <w:r w:rsidDel="00000000" w:rsidR="00000000" w:rsidRPr="00000000">
              <w:rPr>
                <w:sz w:val="24"/>
                <w:szCs w:val="24"/>
                <w:rtl w:val="0"/>
              </w:rPr>
              <w:tab/>
              <w:t xml:space="preserve">The Department of the Treasury, through the Office of Foreign Assets Control (OFAC), shall rescind all regulations enforcing trade and financial restrictions under the embargo.</w:t>
            </w:r>
          </w:p>
          <w:p w:rsidR="00000000" w:rsidDel="00000000" w:rsidP="00000000" w:rsidRDefault="00000000" w:rsidRPr="00000000" w14:paraId="00000024">
            <w:pPr>
              <w:pageBreakBefore w:val="0"/>
              <w:numPr>
                <w:ilvl w:val="0"/>
                <w:numId w:val="1"/>
              </w:numPr>
              <w:pBdr>
                <w:top w:space="0" w:sz="0" w:val="nil"/>
                <w:left w:space="0" w:sz="0" w:val="nil"/>
                <w:bottom w:space="0" w:sz="0" w:val="nil"/>
                <w:right w:space="0" w:sz="0" w:val="nil"/>
                <w:between w:space="0" w:sz="0" w:val="nil"/>
              </w:pBdr>
              <w:shd w:fill="auto" w:val="clear"/>
              <w:spacing w:line="335.99999999999994" w:lineRule="auto"/>
              <w:ind w:left="1800" w:hanging="360"/>
              <w:rPr>
                <w:sz w:val="24"/>
                <w:szCs w:val="24"/>
              </w:rPr>
            </w:pPr>
            <w:r w:rsidDel="00000000" w:rsidR="00000000" w:rsidRPr="00000000">
              <w:rPr>
                <w:sz w:val="24"/>
                <w:szCs w:val="24"/>
                <w:rtl w:val="0"/>
              </w:rPr>
              <w:t xml:space="preserve">The Department of Commerce shall issue new trade guidelines permitting unrestricted export, import, and investment activity between the United States and Cuba, subject to standard U.S. trade compliance laws.</w:t>
            </w:r>
          </w:p>
          <w:p w:rsidR="00000000" w:rsidDel="00000000" w:rsidP="00000000" w:rsidRDefault="00000000" w:rsidRPr="00000000" w14:paraId="00000025">
            <w:pPr>
              <w:pageBreakBefore w:val="0"/>
              <w:numPr>
                <w:ilvl w:val="0"/>
                <w:numId w:val="1"/>
              </w:numPr>
              <w:pBdr>
                <w:top w:space="0" w:sz="0" w:val="nil"/>
                <w:left w:space="0" w:sz="0" w:val="nil"/>
                <w:bottom w:space="0" w:sz="0" w:val="nil"/>
                <w:right w:space="0" w:sz="0" w:val="nil"/>
                <w:between w:space="0" w:sz="0" w:val="nil"/>
              </w:pBdr>
              <w:shd w:fill="auto" w:val="clear"/>
              <w:spacing w:line="335.99999999999994" w:lineRule="auto"/>
              <w:ind w:left="1800" w:hanging="360"/>
              <w:rPr>
                <w:sz w:val="24"/>
                <w:szCs w:val="24"/>
              </w:rPr>
            </w:pPr>
            <w:r w:rsidDel="00000000" w:rsidR="00000000" w:rsidRPr="00000000">
              <w:rPr>
                <w:sz w:val="24"/>
                <w:szCs w:val="24"/>
                <w:rtl w:val="0"/>
              </w:rPr>
              <w:t xml:space="preserve">The Department of State shall initiate a bilateral commission with the Cuban Ministry of Foreign Affairs to oversee the normalization process and ensure adherence to international trade norms.</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line="335.99999999999994" w:lineRule="auto"/>
              <w:ind w:left="1440"/>
              <w:rPr>
                <w:sz w:val="24"/>
                <w:szCs w:val="24"/>
              </w:rPr>
            </w:pPr>
            <w:r w:rsidDel="00000000" w:rsidR="00000000" w:rsidRPr="00000000">
              <w:rPr>
                <w:b w:val="1"/>
                <w:bCs w:val="1"/>
                <w:sz w:val="24"/>
                <w:szCs w:val="24"/>
                <w:rtl w:val="0"/>
              </w:rPr>
              <w:t xml:space="preserve">SECTION 4.</w:t>
              <w:tab/>
            </w:r>
            <w:r w:rsidDel="00000000" w:rsidR="00000000" w:rsidRPr="00000000">
              <w:rPr>
                <w:sz w:val="24"/>
                <w:szCs w:val="24"/>
                <w:rtl w:val="0"/>
              </w:rPr>
              <w:t xml:space="preserve">This legislation shall take effect at the beginning of FY 2026. All laws in conflict with this legislation are hereby declared null and void.</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line="335.99999999999994" w:lineRule="auto"/>
              <w:ind w:left="0" w:firstLine="0"/>
              <w:rPr>
                <w:sz w:val="24"/>
                <w:szCs w:val="24"/>
              </w:rPr>
            </w:pPr>
            <w:r w:rsidDel="00000000" w:rsidR="00000000" w:rsidRPr="00000000">
              <w:rPr>
                <w:rtl w:val="0"/>
              </w:rPr>
            </w:r>
          </w:p>
        </w:tc>
      </w:tr>
    </w:tbl>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after="0" w:before="0" w:line="240" w:lineRule="auto"/>
        <w:ind w:left="1440" w:hanging="1440"/>
        <w:rPr>
          <w:rFonts w:ascii="Calibri" w:cs="Calibri" w:eastAsia="Calibri" w:hAnsi="Calibri"/>
          <w:b w:val="0"/>
          <w:bCs w:val="0"/>
          <w:i w:val="0"/>
          <w:iCs w:val="0"/>
          <w:sz w:val="22"/>
          <w:szCs w:val="22"/>
          <w:vertAlign w:val="baseline"/>
        </w:rPr>
      </w:pPr>
      <w:r w:rsidDel="00000000" w:rsidR="00000000" w:rsidRPr="00000000">
        <w:rPr>
          <w:rFonts w:ascii="Calibri" w:cs="Calibri" w:eastAsia="Calibri" w:hAnsi="Calibri"/>
          <w:b w:val="0"/>
          <w:bCs w:val="0"/>
          <w:i w:val="1"/>
          <w:iCs w:val="1"/>
          <w:sz w:val="22"/>
          <w:szCs w:val="22"/>
          <w:vertAlign w:val="baseline"/>
          <w:rtl w:val="0"/>
        </w:rPr>
        <w:t xml:space="preserve">Introduced for Congressional Debate by </w:t>
      </w:r>
      <w:r w:rsidDel="00000000" w:rsidR="00000000" w:rsidRPr="00000000">
        <w:rPr>
          <w:i w:val="1"/>
          <w:iCs w:val="1"/>
          <w:sz w:val="22"/>
          <w:szCs w:val="22"/>
          <w:rtl w:val="0"/>
        </w:rPr>
        <w:t xml:space="preserve">Leonardo Fernandez Castillo, Wellington High School</w:t>
      </w:r>
      <w:r w:rsidDel="00000000" w:rsidR="00000000" w:rsidRPr="00000000">
        <w:rPr>
          <w:rFonts w:ascii="Calibri" w:cs="Calibri" w:eastAsia="Calibri" w:hAnsi="Calibri"/>
          <w:b w:val="0"/>
          <w:bCs w:val="0"/>
          <w:i w:val="1"/>
          <w:iCs w:val="1"/>
          <w:sz w:val="22"/>
          <w:szCs w:val="22"/>
          <w:vertAlign w:val="baseline"/>
          <w:rtl w:val="0"/>
        </w:rPr>
        <w:t xml:space="preserve">.</w:t>
      </w:r>
      <w:r w:rsidDel="00000000" w:rsidR="00000000" w:rsidRPr="00000000">
        <w:rPr>
          <w:rtl w:val="0"/>
        </w:rPr>
      </w:r>
    </w:p>
    <w:sectPr>
      <w:pgSz w:h="15840" w:w="12240" w:orient="portrait"/>
      <w:pgMar w:bottom="720" w:top="1008" w:left="1727.9999999999998" w:right="100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800" w:hanging="360"/>
      </w:pPr>
      <w:rPr>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18"/>
        <w:szCs w:val="18"/>
        <w:lang w:val="1033"/>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0" w:before="0" w:line="240" w:lineRule="auto"/>
    </w:pPr>
    <w:rPr>
      <w:rFonts w:ascii="Calibri" w:cs="Calibri" w:eastAsia="Calibri" w:hAnsi="Calibri"/>
      <w:b w:val="1"/>
      <w:bCs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